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C1F" w:rsidRPr="00C82EC8" w:rsidRDefault="00376323" w:rsidP="008F3065">
      <w:pPr>
        <w:pStyle w:val="Titel"/>
        <w:jc w:val="center"/>
        <w:rPr>
          <w:rStyle w:val="fontstyle01"/>
          <w:rFonts w:asciiTheme="majorHAnsi" w:hAnsiTheme="majorHAnsi"/>
          <w:color w:val="auto"/>
          <w:sz w:val="56"/>
          <w:szCs w:val="56"/>
        </w:rPr>
      </w:pPr>
      <w:r>
        <w:rPr>
          <w:rStyle w:val="fontstyle01"/>
          <w:rFonts w:asciiTheme="majorHAnsi" w:hAnsiTheme="majorHAnsi"/>
          <w:color w:val="auto"/>
          <w:sz w:val="56"/>
          <w:szCs w:val="56"/>
        </w:rPr>
        <w:t xml:space="preserve">Übungsteil 1 - </w:t>
      </w:r>
      <w:r w:rsidR="004C1C1F" w:rsidRPr="00C82EC8">
        <w:rPr>
          <w:rStyle w:val="fontstyle01"/>
          <w:rFonts w:asciiTheme="majorHAnsi" w:hAnsiTheme="majorHAnsi"/>
          <w:color w:val="auto"/>
          <w:sz w:val="56"/>
          <w:szCs w:val="56"/>
        </w:rPr>
        <w:t>Privates Wirtschaftsrecht</w:t>
      </w:r>
    </w:p>
    <w:p w:rsidR="00376323" w:rsidRDefault="00376323" w:rsidP="00ED41CF">
      <w:pPr>
        <w:spacing w:after="0"/>
        <w:rPr>
          <w:rStyle w:val="fontstyle01"/>
          <w:sz w:val="18"/>
        </w:rPr>
      </w:pPr>
    </w:p>
    <w:p w:rsidR="00376323" w:rsidRDefault="00376323" w:rsidP="0061106F">
      <w:pPr>
        <w:spacing w:after="0"/>
        <w:jc w:val="center"/>
        <w:rPr>
          <w:rStyle w:val="fontstyle01"/>
          <w:sz w:val="18"/>
        </w:rPr>
      </w:pPr>
      <w:r>
        <w:rPr>
          <w:rFonts w:ascii="*Tahoma-14020-Identity-H" w:hAnsi="*Tahoma-14020-Identity-H"/>
          <w:noProof/>
          <w:color w:val="212222"/>
          <w:sz w:val="18"/>
          <w:szCs w:val="16"/>
        </w:rPr>
        <w:drawing>
          <wp:inline distT="0" distB="0" distL="0" distR="0">
            <wp:extent cx="5586884" cy="906777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8">
                      <a:extLst>
                        <a:ext uri="{28A0092B-C50C-407E-A947-70E740481C1C}">
                          <a14:useLocalDpi xmlns:a14="http://schemas.microsoft.com/office/drawing/2010/main" val="0"/>
                        </a:ext>
                      </a:extLst>
                    </a:blip>
                    <a:stretch>
                      <a:fillRect/>
                    </a:stretch>
                  </pic:blipFill>
                  <pic:spPr>
                    <a:xfrm>
                      <a:off x="0" y="0"/>
                      <a:ext cx="5597255" cy="9084607"/>
                    </a:xfrm>
                    <a:prstGeom prst="rect">
                      <a:avLst/>
                    </a:prstGeom>
                  </pic:spPr>
                </pic:pic>
              </a:graphicData>
            </a:graphic>
          </wp:inline>
        </w:drawing>
      </w:r>
      <w:bookmarkStart w:id="0" w:name="_GoBack"/>
      <w:bookmarkEnd w:id="0"/>
    </w:p>
    <w:p w:rsidR="00376323" w:rsidRDefault="00376323" w:rsidP="00ED41CF">
      <w:pPr>
        <w:spacing w:after="0"/>
        <w:rPr>
          <w:rStyle w:val="fontstyle01"/>
          <w:sz w:val="18"/>
        </w:rPr>
      </w:pPr>
    </w:p>
    <w:p w:rsidR="0035071F" w:rsidRPr="00C82EC8" w:rsidRDefault="00ED41CF" w:rsidP="00ED41CF">
      <w:pPr>
        <w:spacing w:after="0"/>
        <w:rPr>
          <w:rStyle w:val="fontstyle01"/>
          <w:sz w:val="18"/>
        </w:rPr>
      </w:pPr>
      <w:r w:rsidRPr="00C82EC8">
        <w:rPr>
          <w:rStyle w:val="fontstyle01"/>
          <w:sz w:val="18"/>
        </w:rPr>
        <w:t>1</w:t>
      </w:r>
      <w:r w:rsidR="00376323">
        <w:rPr>
          <w:rStyle w:val="fontstyle01"/>
          <w:sz w:val="18"/>
        </w:rPr>
        <w:t>.</w:t>
      </w:r>
    </w:p>
    <w:p w:rsidR="008F6497" w:rsidRPr="00C82EC8" w:rsidRDefault="008F6497" w:rsidP="00ED41CF">
      <w:pPr>
        <w:spacing w:after="0"/>
        <w:rPr>
          <w:rStyle w:val="fontstyle01"/>
          <w:sz w:val="18"/>
        </w:rPr>
      </w:pPr>
      <w:r w:rsidRPr="00C82EC8">
        <w:rPr>
          <w:rStyle w:val="fontstyle01"/>
          <w:sz w:val="18"/>
        </w:rPr>
        <w:t>Laut §2UGB gelten GmbHs gelten unabhängig vom Vorliegen eines Unternehmens als Unternehmer</w:t>
      </w:r>
      <w:r w:rsidR="007F5494" w:rsidRPr="00C82EC8">
        <w:rPr>
          <w:rStyle w:val="fontstyle01"/>
          <w:sz w:val="18"/>
        </w:rPr>
        <w:t>, somit kommt das UGB zur Anwendung</w:t>
      </w:r>
      <w:r w:rsidR="004C1C1F" w:rsidRPr="00C82EC8">
        <w:rPr>
          <w:rStyle w:val="fontstyle01"/>
          <w:sz w:val="18"/>
        </w:rPr>
        <w:t xml:space="preserve">. Die GmbH gilt laut §2 UGB als „Unternehmerin kraft Rechtsform“. </w:t>
      </w:r>
    </w:p>
    <w:p w:rsidR="008F6497" w:rsidRPr="00C82EC8" w:rsidRDefault="008F6497" w:rsidP="00ED41CF">
      <w:pPr>
        <w:spacing w:after="0"/>
        <w:rPr>
          <w:rStyle w:val="fontstyle01"/>
          <w:sz w:val="18"/>
        </w:rPr>
      </w:pPr>
    </w:p>
    <w:p w:rsidR="00ED41CF" w:rsidRPr="00C82EC8" w:rsidRDefault="00376323" w:rsidP="00ED41CF">
      <w:pPr>
        <w:spacing w:after="0"/>
        <w:rPr>
          <w:rStyle w:val="fontstyle01"/>
          <w:sz w:val="18"/>
        </w:rPr>
      </w:pPr>
      <w:r>
        <w:rPr>
          <w:rStyle w:val="fontstyle01"/>
          <w:sz w:val="18"/>
        </w:rPr>
        <w:t>2.</w:t>
      </w:r>
    </w:p>
    <w:p w:rsidR="008F6497" w:rsidRPr="00C82EC8" w:rsidRDefault="008F6497" w:rsidP="008F6497">
      <w:pPr>
        <w:spacing w:after="0"/>
        <w:rPr>
          <w:rStyle w:val="fontstyle01"/>
          <w:sz w:val="18"/>
        </w:rPr>
      </w:pPr>
      <w:r w:rsidRPr="00C82EC8">
        <w:rPr>
          <w:rStyle w:val="fontstyle01"/>
          <w:sz w:val="18"/>
        </w:rPr>
        <w:t>Eine Tätigkeit, die ausschließlich durch Spenden, Beihilfen bzw</w:t>
      </w:r>
      <w:r w:rsidR="004C1C1F" w:rsidRPr="00C82EC8">
        <w:rPr>
          <w:rStyle w:val="fontstyle01"/>
          <w:sz w:val="18"/>
        </w:rPr>
        <w:t>.</w:t>
      </w:r>
      <w:r w:rsidRPr="00C82EC8">
        <w:rPr>
          <w:rStyle w:val="fontstyle01"/>
          <w:sz w:val="18"/>
        </w:rPr>
        <w:t xml:space="preserve"> Subventionen Dritter (ohne Abstellen auf einen konkreten Leistungsaustausch) finanziert wird, erfüllt das Erfordernis der </w:t>
      </w:r>
      <w:r w:rsidRPr="00C82EC8">
        <w:rPr>
          <w:rStyle w:val="fontstyle01"/>
          <w:b/>
          <w:sz w:val="18"/>
        </w:rPr>
        <w:t>Entgeltlichkeit</w:t>
      </w:r>
      <w:r w:rsidRPr="00C82EC8">
        <w:rPr>
          <w:rStyle w:val="fontstyle01"/>
          <w:sz w:val="18"/>
        </w:rPr>
        <w:t xml:space="preserve"> nicht.</w:t>
      </w:r>
    </w:p>
    <w:p w:rsidR="008F6497" w:rsidRPr="00C82EC8" w:rsidRDefault="007F5494" w:rsidP="008F6497">
      <w:pPr>
        <w:spacing w:after="0"/>
        <w:rPr>
          <w:rStyle w:val="fontstyle01"/>
          <w:sz w:val="18"/>
        </w:rPr>
      </w:pPr>
      <w:r w:rsidRPr="00C82EC8">
        <w:rPr>
          <w:rStyle w:val="fontstyle01"/>
          <w:sz w:val="18"/>
        </w:rPr>
        <w:t xml:space="preserve">Somit würde die OG nicht alle Elemente des Unternehmensbegriffes erfüllen </w:t>
      </w:r>
      <w:r w:rsidR="004C1C1F" w:rsidRPr="00C82EC8">
        <w:rPr>
          <w:rStyle w:val="fontstyle01"/>
          <w:sz w:val="18"/>
        </w:rPr>
        <w:t xml:space="preserve">und die OG ist laut §2 UGB auch keine „Unternehmerin kraft Rechtsform“. Daher kommt das UGB nicht zur Anwendung. </w:t>
      </w:r>
    </w:p>
    <w:p w:rsidR="00ED41CF" w:rsidRPr="00C82EC8" w:rsidRDefault="00ED41CF" w:rsidP="00ED41CF">
      <w:pPr>
        <w:spacing w:after="0"/>
        <w:rPr>
          <w:rStyle w:val="fontstyle01"/>
          <w:sz w:val="18"/>
        </w:rPr>
      </w:pPr>
    </w:p>
    <w:p w:rsidR="00376323" w:rsidRDefault="00376323" w:rsidP="00ED41CF">
      <w:pPr>
        <w:spacing w:after="0"/>
        <w:rPr>
          <w:rStyle w:val="fontstyle01"/>
          <w:sz w:val="18"/>
        </w:rPr>
      </w:pPr>
      <w:r>
        <w:rPr>
          <w:rStyle w:val="fontstyle01"/>
          <w:sz w:val="18"/>
        </w:rPr>
        <w:t>3.</w:t>
      </w:r>
    </w:p>
    <w:p w:rsidR="00ED41CF" w:rsidRPr="00C82EC8" w:rsidRDefault="009536D6" w:rsidP="00ED41CF">
      <w:pPr>
        <w:spacing w:after="0"/>
        <w:rPr>
          <w:rStyle w:val="fontstyle01"/>
          <w:sz w:val="18"/>
        </w:rPr>
      </w:pPr>
      <w:r w:rsidRPr="00C82EC8">
        <w:rPr>
          <w:rStyle w:val="fontstyle01"/>
          <w:sz w:val="18"/>
        </w:rPr>
        <w:t>Ja, da die Prokura nicht aus dem Firmenbuch ausgetragen wurde und auch nicht bekannt gemacht wurde (§15 Abs. 1</w:t>
      </w:r>
      <w:r w:rsidR="00E303EA" w:rsidRPr="00C82EC8">
        <w:rPr>
          <w:rStyle w:val="fontstyle01"/>
          <w:sz w:val="18"/>
        </w:rPr>
        <w:t xml:space="preserve"> UGB</w:t>
      </w:r>
      <w:r w:rsidRPr="00C82EC8">
        <w:rPr>
          <w:rStyle w:val="fontstyle01"/>
          <w:sz w:val="18"/>
        </w:rPr>
        <w:t xml:space="preserve">). </w:t>
      </w:r>
    </w:p>
    <w:p w:rsidR="004E12EF" w:rsidRPr="00C82EC8" w:rsidRDefault="004E12EF" w:rsidP="00ED41CF">
      <w:pPr>
        <w:spacing w:after="0"/>
        <w:rPr>
          <w:rStyle w:val="fontstyle01"/>
          <w:sz w:val="18"/>
        </w:rPr>
      </w:pPr>
    </w:p>
    <w:p w:rsidR="00376323" w:rsidRDefault="00376323" w:rsidP="00ED41CF">
      <w:pPr>
        <w:spacing w:after="0"/>
        <w:rPr>
          <w:rStyle w:val="fontstyle01"/>
          <w:sz w:val="18"/>
        </w:rPr>
      </w:pPr>
      <w:r>
        <w:rPr>
          <w:rStyle w:val="fontstyle01"/>
          <w:sz w:val="18"/>
        </w:rPr>
        <w:t>4.</w:t>
      </w:r>
    </w:p>
    <w:p w:rsidR="004E12EF" w:rsidRPr="00C82EC8" w:rsidRDefault="0050201F" w:rsidP="00ED41CF">
      <w:pPr>
        <w:spacing w:after="0"/>
        <w:rPr>
          <w:rStyle w:val="fontstyle01"/>
          <w:sz w:val="18"/>
        </w:rPr>
      </w:pPr>
      <w:r w:rsidRPr="00C82EC8">
        <w:rPr>
          <w:rStyle w:val="fontstyle01"/>
          <w:sz w:val="18"/>
        </w:rPr>
        <w:t>Nein, da bereits nach 15 Tagen nach der Bekanntmachung kein Vertrauensschutz des Dritten mehr besteht</w:t>
      </w:r>
      <w:r w:rsidR="009536D6" w:rsidRPr="00C82EC8">
        <w:rPr>
          <w:rStyle w:val="fontstyle01"/>
          <w:sz w:val="18"/>
        </w:rPr>
        <w:t xml:space="preserve"> (§15 UGB). </w:t>
      </w:r>
    </w:p>
    <w:p w:rsidR="004B7447" w:rsidRPr="00C82EC8" w:rsidRDefault="004B7447" w:rsidP="00ED41CF">
      <w:pPr>
        <w:spacing w:after="0"/>
        <w:rPr>
          <w:rStyle w:val="fontstyle01"/>
          <w:sz w:val="18"/>
        </w:rPr>
      </w:pPr>
    </w:p>
    <w:p w:rsidR="00376323" w:rsidRDefault="00376323" w:rsidP="00ED41CF">
      <w:pPr>
        <w:spacing w:after="0"/>
        <w:rPr>
          <w:rStyle w:val="fontstyle01"/>
          <w:sz w:val="18"/>
        </w:rPr>
      </w:pPr>
      <w:r>
        <w:rPr>
          <w:rStyle w:val="fontstyle01"/>
          <w:sz w:val="18"/>
        </w:rPr>
        <w:t>5.</w:t>
      </w:r>
    </w:p>
    <w:p w:rsidR="0050201F" w:rsidRPr="00C82EC8" w:rsidRDefault="005A67B7" w:rsidP="00ED41CF">
      <w:pPr>
        <w:spacing w:after="0"/>
        <w:rPr>
          <w:rStyle w:val="fontstyle01"/>
          <w:sz w:val="18"/>
        </w:rPr>
      </w:pPr>
      <w:r w:rsidRPr="00C82EC8">
        <w:rPr>
          <w:rStyle w:val="fontstyle01"/>
          <w:sz w:val="18"/>
        </w:rPr>
        <w:t xml:space="preserve">Ja, da </w:t>
      </w:r>
      <w:r w:rsidR="00807C75" w:rsidRPr="00C82EC8">
        <w:rPr>
          <w:rStyle w:val="fontstyle01"/>
          <w:sz w:val="18"/>
        </w:rPr>
        <w:t>Wien und Korneuburg</w:t>
      </w:r>
      <w:r w:rsidRPr="00C82EC8">
        <w:rPr>
          <w:rStyle w:val="fontstyle01"/>
          <w:sz w:val="18"/>
        </w:rPr>
        <w:t xml:space="preserve"> nicht im selben Ort bzw. der selben Gemeinde </w:t>
      </w:r>
      <w:r w:rsidR="00806834" w:rsidRPr="00C82EC8">
        <w:rPr>
          <w:rStyle w:val="fontstyle01"/>
          <w:sz w:val="18"/>
        </w:rPr>
        <w:t>sind</w:t>
      </w:r>
      <w:r w:rsidRPr="00C82EC8">
        <w:rPr>
          <w:rStyle w:val="fontstyle01"/>
          <w:sz w:val="18"/>
        </w:rPr>
        <w:t xml:space="preserve"> und Wien und Korneuburg</w:t>
      </w:r>
      <w:r w:rsidR="00806834" w:rsidRPr="00C82EC8">
        <w:rPr>
          <w:rStyle w:val="fontstyle01"/>
          <w:sz w:val="18"/>
        </w:rPr>
        <w:t xml:space="preserve"> somit</w:t>
      </w:r>
      <w:r w:rsidRPr="00C82EC8">
        <w:rPr>
          <w:rStyle w:val="fontstyle01"/>
          <w:sz w:val="18"/>
        </w:rPr>
        <w:t xml:space="preserve"> nicht </w:t>
      </w:r>
      <w:r w:rsidR="00807C75" w:rsidRPr="00C82EC8">
        <w:rPr>
          <w:rStyle w:val="fontstyle01"/>
          <w:sz w:val="18"/>
        </w:rPr>
        <w:t>in den gleichen geografischen Geltungsbereich fallen.</w:t>
      </w:r>
    </w:p>
    <w:p w:rsidR="0050201F" w:rsidRPr="00C82EC8" w:rsidRDefault="0050201F" w:rsidP="00ED41CF">
      <w:pPr>
        <w:spacing w:after="0"/>
        <w:rPr>
          <w:rStyle w:val="fontstyle01"/>
          <w:sz w:val="18"/>
        </w:rPr>
      </w:pPr>
    </w:p>
    <w:p w:rsidR="00376323" w:rsidRDefault="00376323" w:rsidP="00ED41CF">
      <w:pPr>
        <w:spacing w:after="0"/>
        <w:rPr>
          <w:rStyle w:val="fontstyle01"/>
          <w:sz w:val="18"/>
        </w:rPr>
      </w:pPr>
      <w:r>
        <w:rPr>
          <w:rStyle w:val="fontstyle01"/>
          <w:sz w:val="18"/>
        </w:rPr>
        <w:t>6.</w:t>
      </w:r>
    </w:p>
    <w:p w:rsidR="005A67B7" w:rsidRPr="00C82EC8" w:rsidRDefault="00E303EA" w:rsidP="00ED41CF">
      <w:pPr>
        <w:spacing w:after="0"/>
        <w:rPr>
          <w:rStyle w:val="fontstyle01"/>
          <w:sz w:val="18"/>
        </w:rPr>
      </w:pPr>
      <w:r w:rsidRPr="00C82EC8">
        <w:rPr>
          <w:rStyle w:val="fontstyle01"/>
          <w:sz w:val="18"/>
        </w:rPr>
        <w:t>Grundsatz der Firmenausschließlichkeit, §</w:t>
      </w:r>
      <w:r w:rsidR="00743411" w:rsidRPr="00C82EC8">
        <w:rPr>
          <w:rStyle w:val="fontstyle01"/>
          <w:sz w:val="18"/>
        </w:rPr>
        <w:t>29</w:t>
      </w:r>
      <w:r w:rsidRPr="00C82EC8">
        <w:rPr>
          <w:rStyle w:val="fontstyle01"/>
          <w:sz w:val="18"/>
        </w:rPr>
        <w:t xml:space="preserve"> Abs. 1 UGB.</w:t>
      </w:r>
    </w:p>
    <w:p w:rsidR="005A67B7" w:rsidRPr="00C82EC8" w:rsidRDefault="005A67B7" w:rsidP="00ED41CF">
      <w:pPr>
        <w:spacing w:after="0"/>
        <w:rPr>
          <w:rStyle w:val="fontstyle01"/>
          <w:sz w:val="18"/>
        </w:rPr>
      </w:pPr>
    </w:p>
    <w:p w:rsidR="00376323" w:rsidRDefault="00376323" w:rsidP="00ED41CF">
      <w:pPr>
        <w:spacing w:after="0"/>
        <w:rPr>
          <w:rStyle w:val="fontstyle01"/>
          <w:sz w:val="18"/>
        </w:rPr>
      </w:pPr>
      <w:r>
        <w:rPr>
          <w:rStyle w:val="fontstyle01"/>
          <w:sz w:val="18"/>
        </w:rPr>
        <w:t>7.</w:t>
      </w:r>
    </w:p>
    <w:p w:rsidR="005A67B7" w:rsidRPr="00C82EC8" w:rsidRDefault="00C3008E" w:rsidP="00ED41CF">
      <w:pPr>
        <w:spacing w:after="0"/>
        <w:rPr>
          <w:rStyle w:val="fontstyle01"/>
          <w:sz w:val="18"/>
        </w:rPr>
      </w:pPr>
      <w:r w:rsidRPr="00C82EC8">
        <w:rPr>
          <w:rStyle w:val="fontstyle01"/>
          <w:sz w:val="18"/>
        </w:rPr>
        <w:t>Anteilskaufvertrag (</w:t>
      </w:r>
      <w:r w:rsidR="0028760F" w:rsidRPr="00C82EC8">
        <w:rPr>
          <w:rStyle w:val="fontstyle01"/>
          <w:sz w:val="18"/>
        </w:rPr>
        <w:t xml:space="preserve">„Share Deal“, </w:t>
      </w:r>
      <w:r w:rsidRPr="00C82EC8">
        <w:rPr>
          <w:rStyle w:val="fontstyle01"/>
          <w:sz w:val="18"/>
        </w:rPr>
        <w:t>„SPA“) und Unternehmenskaufvertrag (</w:t>
      </w:r>
      <w:r w:rsidR="0028760F" w:rsidRPr="00C82EC8">
        <w:rPr>
          <w:rStyle w:val="fontstyle01"/>
          <w:sz w:val="18"/>
        </w:rPr>
        <w:t xml:space="preserve">„Asset Deal“, </w:t>
      </w:r>
      <w:r w:rsidRPr="00C82EC8">
        <w:rPr>
          <w:rStyle w:val="fontstyle01"/>
          <w:sz w:val="18"/>
        </w:rPr>
        <w:t>„APA“)</w:t>
      </w:r>
    </w:p>
    <w:p w:rsidR="005A67B7" w:rsidRPr="00C82EC8" w:rsidRDefault="005A67B7" w:rsidP="00ED41CF">
      <w:pPr>
        <w:spacing w:after="0"/>
        <w:rPr>
          <w:rStyle w:val="fontstyle01"/>
          <w:sz w:val="18"/>
        </w:rPr>
      </w:pPr>
    </w:p>
    <w:p w:rsidR="005A67B7" w:rsidRPr="00C82EC8" w:rsidRDefault="00376323" w:rsidP="00ED41CF">
      <w:pPr>
        <w:spacing w:after="0"/>
        <w:rPr>
          <w:rStyle w:val="fontstyle01"/>
          <w:sz w:val="18"/>
        </w:rPr>
      </w:pPr>
      <w:r>
        <w:rPr>
          <w:rStyle w:val="fontstyle01"/>
          <w:sz w:val="18"/>
        </w:rPr>
        <w:t>8.</w:t>
      </w:r>
    </w:p>
    <w:p w:rsidR="00FD1B08" w:rsidRPr="00C82EC8" w:rsidRDefault="00FD1B08" w:rsidP="00ED41CF">
      <w:pPr>
        <w:spacing w:after="0"/>
        <w:rPr>
          <w:rStyle w:val="fontstyle01"/>
          <w:sz w:val="18"/>
        </w:rPr>
      </w:pPr>
      <w:r w:rsidRPr="00C82EC8">
        <w:rPr>
          <w:rStyle w:val="fontstyle01"/>
          <w:sz w:val="18"/>
        </w:rPr>
        <w:t>Share Deal:</w:t>
      </w:r>
    </w:p>
    <w:p w:rsidR="00FD1B08" w:rsidRPr="00C82EC8" w:rsidRDefault="00FD1B08" w:rsidP="00FD1B08">
      <w:pPr>
        <w:pStyle w:val="Listenabsatz"/>
        <w:numPr>
          <w:ilvl w:val="0"/>
          <w:numId w:val="2"/>
        </w:numPr>
        <w:spacing w:after="0"/>
        <w:rPr>
          <w:rStyle w:val="fontstyle01"/>
          <w:sz w:val="18"/>
        </w:rPr>
      </w:pPr>
      <w:r w:rsidRPr="00C82EC8">
        <w:rPr>
          <w:rStyle w:val="fontstyle01"/>
          <w:sz w:val="18"/>
        </w:rPr>
        <w:t>Kaufobjekt: Anteile am Rechtsträger des Unternehmens (Shares)</w:t>
      </w:r>
    </w:p>
    <w:p w:rsidR="00FD1B08" w:rsidRPr="00C82EC8" w:rsidRDefault="00FD1B08" w:rsidP="00FD1B08">
      <w:pPr>
        <w:pStyle w:val="Listenabsatz"/>
        <w:numPr>
          <w:ilvl w:val="0"/>
          <w:numId w:val="2"/>
        </w:numPr>
        <w:spacing w:after="0"/>
        <w:rPr>
          <w:rStyle w:val="fontstyle01"/>
          <w:sz w:val="18"/>
        </w:rPr>
      </w:pPr>
      <w:r w:rsidRPr="00C82EC8">
        <w:rPr>
          <w:rStyle w:val="fontstyle01"/>
          <w:sz w:val="18"/>
        </w:rPr>
        <w:t>Ein Verpflichtungs- und ein Verfügungsgeschäft -&gt; einfach</w:t>
      </w:r>
    </w:p>
    <w:p w:rsidR="00FD1B08" w:rsidRPr="00C82EC8" w:rsidRDefault="00FD1B08" w:rsidP="00FD1B08">
      <w:pPr>
        <w:pStyle w:val="Listenabsatz"/>
        <w:numPr>
          <w:ilvl w:val="0"/>
          <w:numId w:val="2"/>
        </w:numPr>
        <w:spacing w:after="0"/>
        <w:rPr>
          <w:rStyle w:val="fontstyle01"/>
          <w:sz w:val="18"/>
        </w:rPr>
      </w:pPr>
      <w:r w:rsidRPr="00C82EC8">
        <w:rPr>
          <w:rStyle w:val="fontstyle01"/>
          <w:sz w:val="18"/>
        </w:rPr>
        <w:t>Rechtsträger (</w:t>
      </w:r>
      <w:proofErr w:type="spellStart"/>
      <w:r w:rsidRPr="00C82EC8">
        <w:rPr>
          <w:rStyle w:val="fontstyle01"/>
          <w:sz w:val="18"/>
        </w:rPr>
        <w:t>zB</w:t>
      </w:r>
      <w:proofErr w:type="spellEnd"/>
      <w:r w:rsidRPr="00C82EC8">
        <w:rPr>
          <w:rStyle w:val="fontstyle01"/>
          <w:sz w:val="18"/>
        </w:rPr>
        <w:t xml:space="preserve"> GmbH) bleibt gleich, nur die Eigentümer des Rechtsträgers ändern sich</w:t>
      </w:r>
    </w:p>
    <w:p w:rsidR="00FD1B08" w:rsidRPr="00C82EC8" w:rsidRDefault="00FD1B08" w:rsidP="00ED41CF">
      <w:pPr>
        <w:spacing w:after="0"/>
        <w:rPr>
          <w:rStyle w:val="fontstyle01"/>
          <w:sz w:val="18"/>
        </w:rPr>
      </w:pPr>
    </w:p>
    <w:p w:rsidR="00FD1B08" w:rsidRPr="00C82EC8" w:rsidRDefault="00FD1B08" w:rsidP="00ED41CF">
      <w:pPr>
        <w:spacing w:after="0"/>
        <w:rPr>
          <w:rStyle w:val="fontstyle01"/>
          <w:sz w:val="18"/>
        </w:rPr>
      </w:pPr>
      <w:r w:rsidRPr="00C82EC8">
        <w:rPr>
          <w:rStyle w:val="fontstyle01"/>
          <w:sz w:val="18"/>
        </w:rPr>
        <w:t>Asset Deal:</w:t>
      </w:r>
    </w:p>
    <w:p w:rsidR="00FD1B08" w:rsidRPr="00C82EC8" w:rsidRDefault="00FD1B08" w:rsidP="00FD1B08">
      <w:pPr>
        <w:pStyle w:val="Listenabsatz"/>
        <w:numPr>
          <w:ilvl w:val="0"/>
          <w:numId w:val="1"/>
        </w:numPr>
        <w:spacing w:after="0"/>
        <w:rPr>
          <w:rStyle w:val="fontstyle01"/>
          <w:sz w:val="18"/>
        </w:rPr>
      </w:pPr>
      <w:r w:rsidRPr="00C82EC8">
        <w:rPr>
          <w:rStyle w:val="fontstyle01"/>
          <w:sz w:val="18"/>
        </w:rPr>
        <w:t>Kaufobjekt: Bestandteile des Unternehmens(Assets)</w:t>
      </w:r>
    </w:p>
    <w:p w:rsidR="00FD1B08" w:rsidRPr="00C82EC8" w:rsidRDefault="00FD1B08" w:rsidP="00FD1B08">
      <w:pPr>
        <w:pStyle w:val="Listenabsatz"/>
        <w:numPr>
          <w:ilvl w:val="0"/>
          <w:numId w:val="1"/>
        </w:numPr>
        <w:spacing w:after="0"/>
        <w:rPr>
          <w:rStyle w:val="fontstyle01"/>
          <w:sz w:val="18"/>
        </w:rPr>
      </w:pPr>
      <w:r w:rsidRPr="00C82EC8">
        <w:rPr>
          <w:rStyle w:val="fontstyle01"/>
          <w:sz w:val="18"/>
        </w:rPr>
        <w:t>(Meist) ein Verpflichtungsgeschäft und viele einzelne Verfügungsgeschäfte -&gt; kompliziert</w:t>
      </w:r>
    </w:p>
    <w:p w:rsidR="00FD1B08" w:rsidRPr="00C82EC8" w:rsidRDefault="00FD1B08" w:rsidP="00FD1B08">
      <w:pPr>
        <w:pStyle w:val="Listenabsatz"/>
        <w:numPr>
          <w:ilvl w:val="0"/>
          <w:numId w:val="1"/>
        </w:numPr>
        <w:spacing w:after="0"/>
        <w:rPr>
          <w:rStyle w:val="fontstyle01"/>
          <w:sz w:val="18"/>
        </w:rPr>
      </w:pPr>
      <w:r w:rsidRPr="00C82EC8">
        <w:rPr>
          <w:rStyle w:val="fontstyle01"/>
          <w:sz w:val="18"/>
        </w:rPr>
        <w:t>Das Unternehmen bekommt einen neuen Rechtsträger</w:t>
      </w:r>
    </w:p>
    <w:p w:rsidR="005A67B7" w:rsidRPr="00C82EC8" w:rsidRDefault="005A67B7" w:rsidP="00ED41CF">
      <w:pPr>
        <w:spacing w:after="0"/>
        <w:rPr>
          <w:rStyle w:val="fontstyle01"/>
          <w:sz w:val="18"/>
        </w:rPr>
      </w:pPr>
    </w:p>
    <w:p w:rsidR="009C2492" w:rsidRPr="00C82EC8" w:rsidRDefault="009C2492" w:rsidP="00ED41CF">
      <w:pPr>
        <w:spacing w:after="0"/>
        <w:rPr>
          <w:rStyle w:val="fontstyle01"/>
          <w:sz w:val="18"/>
        </w:rPr>
      </w:pPr>
    </w:p>
    <w:p w:rsidR="00376323" w:rsidRDefault="00376323" w:rsidP="00ED41CF">
      <w:pPr>
        <w:spacing w:after="0"/>
        <w:rPr>
          <w:rStyle w:val="fontstyle01"/>
          <w:sz w:val="18"/>
        </w:rPr>
      </w:pPr>
      <w:r>
        <w:rPr>
          <w:rStyle w:val="fontstyle01"/>
          <w:sz w:val="18"/>
        </w:rPr>
        <w:t>9.</w:t>
      </w:r>
    </w:p>
    <w:p w:rsidR="005A67B7" w:rsidRPr="00C82EC8" w:rsidRDefault="00743411" w:rsidP="00ED41CF">
      <w:pPr>
        <w:spacing w:after="0"/>
        <w:rPr>
          <w:rStyle w:val="fontstyle01"/>
          <w:sz w:val="18"/>
        </w:rPr>
      </w:pPr>
      <w:r w:rsidRPr="00C82EC8">
        <w:rPr>
          <w:rStyle w:val="fontstyle01"/>
          <w:sz w:val="18"/>
        </w:rPr>
        <w:t>§38 kommt beim Asset-Deal (Unternehmenskaufvertrag) zum Einsatz und erleichtert den Übergang von:</w:t>
      </w:r>
    </w:p>
    <w:p w:rsidR="00743411" w:rsidRPr="00C82EC8" w:rsidRDefault="00743411" w:rsidP="00743411">
      <w:pPr>
        <w:spacing w:after="0"/>
        <w:rPr>
          <w:rStyle w:val="fontstyle01"/>
          <w:sz w:val="18"/>
        </w:rPr>
      </w:pPr>
      <w:r w:rsidRPr="00C82EC8">
        <w:rPr>
          <w:rStyle w:val="fontstyle01"/>
          <w:sz w:val="18"/>
        </w:rPr>
        <w:t>„Wer ein unter Lebenden erworbenes Unternehmen fortführt, übernimmt, sofern nichts anderes vereinbart ist, zum Zeitpunkt des Unternehmensübergangs die unternehmensbezogenen, nicht höchstpersönlichen Rechtsverhältnisse des Veräußerers mit den bis dahin entstandenen Rechten und Verbindlichkeiten“ (§ 38 Abs 1 Satz 1 UGB).</w:t>
      </w:r>
    </w:p>
    <w:p w:rsidR="00AF4BD8" w:rsidRPr="00C82EC8" w:rsidRDefault="00AF4BD8" w:rsidP="00AF4BD8">
      <w:pPr>
        <w:pStyle w:val="Listenabsatz"/>
        <w:numPr>
          <w:ilvl w:val="0"/>
          <w:numId w:val="4"/>
        </w:numPr>
        <w:spacing w:after="0"/>
        <w:rPr>
          <w:rStyle w:val="fontstyle01"/>
          <w:sz w:val="18"/>
        </w:rPr>
      </w:pPr>
      <w:r w:rsidRPr="00C82EC8">
        <w:rPr>
          <w:rStyle w:val="fontstyle01"/>
          <w:sz w:val="18"/>
        </w:rPr>
        <w:t>Man übernimmt also sämtliche Rechte und Pflichten (z.B. Kunden, Forderungen, Verbindlichkeiten, Verkaufslokale, etc.)</w:t>
      </w:r>
    </w:p>
    <w:p w:rsidR="00AF4BD8" w:rsidRPr="00C82EC8" w:rsidRDefault="00AF4BD8" w:rsidP="00AF4BD8">
      <w:pPr>
        <w:pStyle w:val="Listenabsatz"/>
        <w:numPr>
          <w:ilvl w:val="0"/>
          <w:numId w:val="4"/>
        </w:numPr>
        <w:spacing w:after="0"/>
        <w:rPr>
          <w:rStyle w:val="fontstyle01"/>
          <w:sz w:val="18"/>
        </w:rPr>
      </w:pPr>
      <w:r w:rsidRPr="00C82EC8">
        <w:rPr>
          <w:rStyle w:val="fontstyle01"/>
          <w:sz w:val="18"/>
        </w:rPr>
        <w:t>Automatische Vertragsübernahme</w:t>
      </w:r>
    </w:p>
    <w:p w:rsidR="005A67B7" w:rsidRPr="00C82EC8" w:rsidRDefault="005A67B7" w:rsidP="00ED41CF">
      <w:pPr>
        <w:spacing w:after="0"/>
        <w:rPr>
          <w:rStyle w:val="fontstyle01"/>
          <w:sz w:val="18"/>
        </w:rPr>
      </w:pPr>
    </w:p>
    <w:p w:rsidR="00376323" w:rsidRDefault="00376323" w:rsidP="003C4912">
      <w:pPr>
        <w:spacing w:after="0"/>
        <w:rPr>
          <w:rStyle w:val="fontstyle01"/>
          <w:sz w:val="18"/>
        </w:rPr>
      </w:pPr>
      <w:r>
        <w:rPr>
          <w:rStyle w:val="fontstyle01"/>
          <w:sz w:val="18"/>
        </w:rPr>
        <w:t>10.</w:t>
      </w:r>
    </w:p>
    <w:p w:rsidR="003C4912" w:rsidRPr="00C82EC8" w:rsidRDefault="003C4912" w:rsidP="003C4912">
      <w:pPr>
        <w:spacing w:after="0"/>
        <w:rPr>
          <w:rStyle w:val="fontstyle01"/>
          <w:sz w:val="18"/>
        </w:rPr>
      </w:pPr>
      <w:r w:rsidRPr="00C82EC8">
        <w:rPr>
          <w:rStyle w:val="fontstyle01"/>
          <w:sz w:val="18"/>
        </w:rPr>
        <w:t>Er kann die Haftung für nicht übernommene Rechtsverhäl</w:t>
      </w:r>
      <w:r w:rsidR="00630AE6" w:rsidRPr="00C82EC8">
        <w:rPr>
          <w:rStyle w:val="fontstyle01"/>
          <w:sz w:val="18"/>
        </w:rPr>
        <w:t>t</w:t>
      </w:r>
      <w:r w:rsidRPr="00C82EC8">
        <w:rPr>
          <w:rStyle w:val="fontstyle01"/>
          <w:sz w:val="18"/>
        </w:rPr>
        <w:t xml:space="preserve">nisse </w:t>
      </w:r>
      <w:proofErr w:type="gramStart"/>
      <w:r w:rsidRPr="00C82EC8">
        <w:rPr>
          <w:rStyle w:val="fontstyle01"/>
          <w:sz w:val="18"/>
        </w:rPr>
        <w:t>ausschließen</w:t>
      </w:r>
      <w:proofErr w:type="gramEnd"/>
      <w:r w:rsidRPr="00C82EC8">
        <w:rPr>
          <w:rStyle w:val="fontstyle01"/>
          <w:sz w:val="18"/>
        </w:rPr>
        <w:t xml:space="preserve"> wenn er mit dem Veräußerer (X-GmbH) eine Haftungsausschlussvereinbarung trifft und diese auch zeitnah publiziert. </w:t>
      </w:r>
    </w:p>
    <w:p w:rsidR="003C4912" w:rsidRPr="00C82EC8" w:rsidRDefault="003C4912" w:rsidP="003C4912">
      <w:pPr>
        <w:spacing w:after="0"/>
        <w:rPr>
          <w:rStyle w:val="fontstyle01"/>
          <w:sz w:val="18"/>
        </w:rPr>
      </w:pPr>
      <w:r w:rsidRPr="00C82EC8">
        <w:rPr>
          <w:rStyle w:val="fontstyle01"/>
          <w:sz w:val="18"/>
        </w:rPr>
        <w:t>Die Publikation kann erfolgen durch:</w:t>
      </w:r>
    </w:p>
    <w:p w:rsidR="005A67B7" w:rsidRPr="00C82EC8" w:rsidRDefault="003C4912" w:rsidP="003C4912">
      <w:pPr>
        <w:pStyle w:val="Listenabsatz"/>
        <w:numPr>
          <w:ilvl w:val="0"/>
          <w:numId w:val="5"/>
        </w:numPr>
        <w:spacing w:after="0"/>
        <w:rPr>
          <w:rStyle w:val="fontstyle01"/>
          <w:sz w:val="18"/>
        </w:rPr>
      </w:pPr>
      <w:r w:rsidRPr="00C82EC8">
        <w:rPr>
          <w:rStyle w:val="fontstyle01"/>
          <w:sz w:val="18"/>
        </w:rPr>
        <w:t>Eintragung ins Firmenbuch</w:t>
      </w:r>
    </w:p>
    <w:p w:rsidR="003C4912" w:rsidRPr="00C82EC8" w:rsidRDefault="003C4912" w:rsidP="003C4912">
      <w:pPr>
        <w:pStyle w:val="Listenabsatz"/>
        <w:numPr>
          <w:ilvl w:val="0"/>
          <w:numId w:val="5"/>
        </w:numPr>
        <w:spacing w:after="0"/>
        <w:rPr>
          <w:rStyle w:val="fontstyle01"/>
          <w:sz w:val="18"/>
        </w:rPr>
      </w:pPr>
      <w:r w:rsidRPr="00C82EC8">
        <w:rPr>
          <w:rStyle w:val="fontstyle01"/>
          <w:sz w:val="18"/>
        </w:rPr>
        <w:t>Bekanntmachung in „verkehrsüblicher“ Weise</w:t>
      </w:r>
    </w:p>
    <w:p w:rsidR="003C4912" w:rsidRPr="00C82EC8" w:rsidRDefault="003C4912" w:rsidP="003C4912">
      <w:pPr>
        <w:pStyle w:val="Listenabsatz"/>
        <w:numPr>
          <w:ilvl w:val="0"/>
          <w:numId w:val="5"/>
        </w:numPr>
        <w:spacing w:after="0"/>
        <w:rPr>
          <w:rStyle w:val="fontstyle01"/>
          <w:sz w:val="18"/>
        </w:rPr>
      </w:pPr>
      <w:r w:rsidRPr="00C82EC8">
        <w:rPr>
          <w:rStyle w:val="fontstyle01"/>
          <w:sz w:val="18"/>
        </w:rPr>
        <w:t>Mitteilung an den Dritten durch den Erwerber (Franz Lutz) oder den Veräußerer (X-GmbH)</w:t>
      </w:r>
    </w:p>
    <w:sectPr w:rsidR="003C4912" w:rsidRPr="00C82EC8" w:rsidSect="00C82E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E0F" w:rsidRDefault="00D01E0F" w:rsidP="004C1C1F">
      <w:pPr>
        <w:spacing w:after="0" w:line="240" w:lineRule="auto"/>
      </w:pPr>
      <w:r>
        <w:separator/>
      </w:r>
    </w:p>
  </w:endnote>
  <w:endnote w:type="continuationSeparator" w:id="0">
    <w:p w:rsidR="00D01E0F" w:rsidRDefault="00D01E0F" w:rsidP="004C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14020-Identity-H">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E0F" w:rsidRDefault="00D01E0F" w:rsidP="004C1C1F">
      <w:pPr>
        <w:spacing w:after="0" w:line="240" w:lineRule="auto"/>
      </w:pPr>
      <w:r>
        <w:separator/>
      </w:r>
    </w:p>
  </w:footnote>
  <w:footnote w:type="continuationSeparator" w:id="0">
    <w:p w:rsidR="00D01E0F" w:rsidRDefault="00D01E0F" w:rsidP="004C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4F20"/>
    <w:multiLevelType w:val="hybridMultilevel"/>
    <w:tmpl w:val="81703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88A7EF8"/>
    <w:multiLevelType w:val="hybridMultilevel"/>
    <w:tmpl w:val="EC2C09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D565D06"/>
    <w:multiLevelType w:val="hybridMultilevel"/>
    <w:tmpl w:val="06BCDB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ECB311D"/>
    <w:multiLevelType w:val="hybridMultilevel"/>
    <w:tmpl w:val="91CCBE66"/>
    <w:lvl w:ilvl="0" w:tplc="6A5485C6">
      <w:start w:val="4"/>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90F060D"/>
    <w:multiLevelType w:val="hybridMultilevel"/>
    <w:tmpl w:val="A240E120"/>
    <w:lvl w:ilvl="0" w:tplc="6A5485C6">
      <w:start w:val="4"/>
      <w:numFmt w:val="bullet"/>
      <w:lvlText w:val=""/>
      <w:lvlJc w:val="left"/>
      <w:pPr>
        <w:ind w:left="753" w:hanging="360"/>
      </w:pPr>
      <w:rPr>
        <w:rFonts w:ascii="Wingdings" w:eastAsiaTheme="minorHAnsi" w:hAnsi="Wingdings" w:cstheme="minorBidi" w:hint="default"/>
      </w:rPr>
    </w:lvl>
    <w:lvl w:ilvl="1" w:tplc="0C070003" w:tentative="1">
      <w:start w:val="1"/>
      <w:numFmt w:val="bullet"/>
      <w:lvlText w:val="o"/>
      <w:lvlJc w:val="left"/>
      <w:pPr>
        <w:ind w:left="1473" w:hanging="360"/>
      </w:pPr>
      <w:rPr>
        <w:rFonts w:ascii="Courier New" w:hAnsi="Courier New" w:cs="Courier New" w:hint="default"/>
      </w:rPr>
    </w:lvl>
    <w:lvl w:ilvl="2" w:tplc="0C070005" w:tentative="1">
      <w:start w:val="1"/>
      <w:numFmt w:val="bullet"/>
      <w:lvlText w:val=""/>
      <w:lvlJc w:val="left"/>
      <w:pPr>
        <w:ind w:left="2193" w:hanging="360"/>
      </w:pPr>
      <w:rPr>
        <w:rFonts w:ascii="Wingdings" w:hAnsi="Wingdings" w:hint="default"/>
      </w:rPr>
    </w:lvl>
    <w:lvl w:ilvl="3" w:tplc="0C070001" w:tentative="1">
      <w:start w:val="1"/>
      <w:numFmt w:val="bullet"/>
      <w:lvlText w:val=""/>
      <w:lvlJc w:val="left"/>
      <w:pPr>
        <w:ind w:left="2913" w:hanging="360"/>
      </w:pPr>
      <w:rPr>
        <w:rFonts w:ascii="Symbol" w:hAnsi="Symbol" w:hint="default"/>
      </w:rPr>
    </w:lvl>
    <w:lvl w:ilvl="4" w:tplc="0C070003" w:tentative="1">
      <w:start w:val="1"/>
      <w:numFmt w:val="bullet"/>
      <w:lvlText w:val="o"/>
      <w:lvlJc w:val="left"/>
      <w:pPr>
        <w:ind w:left="3633" w:hanging="360"/>
      </w:pPr>
      <w:rPr>
        <w:rFonts w:ascii="Courier New" w:hAnsi="Courier New" w:cs="Courier New" w:hint="default"/>
      </w:rPr>
    </w:lvl>
    <w:lvl w:ilvl="5" w:tplc="0C070005" w:tentative="1">
      <w:start w:val="1"/>
      <w:numFmt w:val="bullet"/>
      <w:lvlText w:val=""/>
      <w:lvlJc w:val="left"/>
      <w:pPr>
        <w:ind w:left="4353" w:hanging="360"/>
      </w:pPr>
      <w:rPr>
        <w:rFonts w:ascii="Wingdings" w:hAnsi="Wingdings" w:hint="default"/>
      </w:rPr>
    </w:lvl>
    <w:lvl w:ilvl="6" w:tplc="0C070001" w:tentative="1">
      <w:start w:val="1"/>
      <w:numFmt w:val="bullet"/>
      <w:lvlText w:val=""/>
      <w:lvlJc w:val="left"/>
      <w:pPr>
        <w:ind w:left="5073" w:hanging="360"/>
      </w:pPr>
      <w:rPr>
        <w:rFonts w:ascii="Symbol" w:hAnsi="Symbol" w:hint="default"/>
      </w:rPr>
    </w:lvl>
    <w:lvl w:ilvl="7" w:tplc="0C070003" w:tentative="1">
      <w:start w:val="1"/>
      <w:numFmt w:val="bullet"/>
      <w:lvlText w:val="o"/>
      <w:lvlJc w:val="left"/>
      <w:pPr>
        <w:ind w:left="5793" w:hanging="360"/>
      </w:pPr>
      <w:rPr>
        <w:rFonts w:ascii="Courier New" w:hAnsi="Courier New" w:cs="Courier New" w:hint="default"/>
      </w:rPr>
    </w:lvl>
    <w:lvl w:ilvl="8" w:tplc="0C070005" w:tentative="1">
      <w:start w:val="1"/>
      <w:numFmt w:val="bullet"/>
      <w:lvlText w:val=""/>
      <w:lvlJc w:val="left"/>
      <w:pPr>
        <w:ind w:left="6513"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1CF"/>
    <w:rsid w:val="00135448"/>
    <w:rsid w:val="0028760F"/>
    <w:rsid w:val="0035071F"/>
    <w:rsid w:val="00376323"/>
    <w:rsid w:val="003C4912"/>
    <w:rsid w:val="004B0508"/>
    <w:rsid w:val="004B7447"/>
    <w:rsid w:val="004C1C1F"/>
    <w:rsid w:val="004E12EF"/>
    <w:rsid w:val="0050201F"/>
    <w:rsid w:val="005A67B7"/>
    <w:rsid w:val="0061106F"/>
    <w:rsid w:val="00630AE6"/>
    <w:rsid w:val="00743411"/>
    <w:rsid w:val="007D0E00"/>
    <w:rsid w:val="007E5DDF"/>
    <w:rsid w:val="007F5494"/>
    <w:rsid w:val="00806834"/>
    <w:rsid w:val="00807C75"/>
    <w:rsid w:val="008F3065"/>
    <w:rsid w:val="008F6497"/>
    <w:rsid w:val="009536D6"/>
    <w:rsid w:val="009C2492"/>
    <w:rsid w:val="00A8699A"/>
    <w:rsid w:val="00AF4BD8"/>
    <w:rsid w:val="00C3008E"/>
    <w:rsid w:val="00C82EC8"/>
    <w:rsid w:val="00D01E0F"/>
    <w:rsid w:val="00E303EA"/>
    <w:rsid w:val="00ED41CF"/>
    <w:rsid w:val="00FD1B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75B2"/>
  <w15:chartTrackingRefBased/>
  <w15:docId w15:val="{7D94E878-D19C-4BF4-B635-B1F37F27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B74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ntstyle01">
    <w:name w:val="fontstyle01"/>
    <w:basedOn w:val="Absatz-Standardschriftart"/>
    <w:rsid w:val="00ED41CF"/>
    <w:rPr>
      <w:rFonts w:ascii="*Tahoma-14020-Identity-H" w:hAnsi="*Tahoma-14020-Identity-H" w:hint="default"/>
      <w:b w:val="0"/>
      <w:bCs w:val="0"/>
      <w:i w:val="0"/>
      <w:iCs w:val="0"/>
      <w:color w:val="212222"/>
      <w:sz w:val="16"/>
      <w:szCs w:val="16"/>
    </w:rPr>
  </w:style>
  <w:style w:type="character" w:customStyle="1" w:styleId="berschrift1Zchn">
    <w:name w:val="Überschrift 1 Zchn"/>
    <w:basedOn w:val="Absatz-Standardschriftart"/>
    <w:link w:val="berschrift1"/>
    <w:uiPriority w:val="9"/>
    <w:rsid w:val="004B7447"/>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FD1B08"/>
    <w:pPr>
      <w:ind w:left="720"/>
      <w:contextualSpacing/>
    </w:pPr>
  </w:style>
  <w:style w:type="paragraph" w:styleId="Kopfzeile">
    <w:name w:val="header"/>
    <w:basedOn w:val="Standard"/>
    <w:link w:val="KopfzeileZchn"/>
    <w:uiPriority w:val="99"/>
    <w:unhideWhenUsed/>
    <w:rsid w:val="004C1C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1C1F"/>
  </w:style>
  <w:style w:type="paragraph" w:styleId="Fuzeile">
    <w:name w:val="footer"/>
    <w:basedOn w:val="Standard"/>
    <w:link w:val="FuzeileZchn"/>
    <w:uiPriority w:val="99"/>
    <w:unhideWhenUsed/>
    <w:rsid w:val="004C1C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1C1F"/>
  </w:style>
  <w:style w:type="paragraph" w:styleId="Titel">
    <w:name w:val="Title"/>
    <w:basedOn w:val="Standard"/>
    <w:next w:val="Standard"/>
    <w:link w:val="TitelZchn"/>
    <w:uiPriority w:val="10"/>
    <w:qFormat/>
    <w:rsid w:val="004C1C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C1C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35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C530-96BB-4A50-B0DE-E48D416A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Limbeck</dc:creator>
  <cp:keywords/>
  <dc:description/>
  <cp:lastModifiedBy>Philipp Limbeck</cp:lastModifiedBy>
  <cp:revision>2</cp:revision>
  <dcterms:created xsi:type="dcterms:W3CDTF">2018-06-29T16:13:00Z</dcterms:created>
  <dcterms:modified xsi:type="dcterms:W3CDTF">2018-06-29T16:13:00Z</dcterms:modified>
</cp:coreProperties>
</file>